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1BF3" w14:textId="77777777" w:rsidR="00BB2E45" w:rsidRDefault="009C7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a"/>
        <w:tblW w:w="10632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BB2E45" w14:paraId="22FC3575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830ADF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704505CB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597859F6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9B94F5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2BAE5179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0A849F84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200562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5C7B8AB1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10F6B5CA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E83E0F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14A17448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20FB3A50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A8D2BC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5EA953A8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1D345A9E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F8C037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41F2DDD0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C852202" w14:textId="77777777" w:rsidR="00BB2E45" w:rsidRDefault="00BB2E45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BB2E45" w14:paraId="335BB97B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63" w:type="dxa"/>
            </w:tcMar>
            <w:vAlign w:val="center"/>
          </w:tcPr>
          <w:p w14:paraId="1A7692ED" w14:textId="77777777" w:rsidR="00BB2E45" w:rsidRDefault="009C7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63" w:type="dxa"/>
            </w:tcMar>
            <w:vAlign w:val="center"/>
          </w:tcPr>
          <w:p w14:paraId="51EF4CA9" w14:textId="77777777" w:rsidR="00BB2E45" w:rsidRDefault="009C72D3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63" w:type="dxa"/>
            </w:tcMar>
            <w:vAlign w:val="center"/>
          </w:tcPr>
          <w:p w14:paraId="645CE2EF" w14:textId="77777777" w:rsidR="00BB2E45" w:rsidRDefault="009C72D3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63" w:type="dxa"/>
            </w:tcMar>
            <w:vAlign w:val="center"/>
          </w:tcPr>
          <w:p w14:paraId="5A7AC81C" w14:textId="77777777" w:rsidR="00BB2E45" w:rsidRDefault="009C72D3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BB2E45" w14:paraId="03A6E3F5" w14:textId="77777777">
        <w:trPr>
          <w:trHeight w:val="553"/>
        </w:trPr>
        <w:tc>
          <w:tcPr>
            <w:tcW w:w="799" w:type="dxa"/>
            <w:shd w:val="clear" w:color="auto" w:fill="auto"/>
            <w:tcMar>
              <w:left w:w="63" w:type="dxa"/>
            </w:tcMar>
          </w:tcPr>
          <w:p w14:paraId="60E77F52" w14:textId="77777777" w:rsidR="00BB2E45" w:rsidRDefault="009C7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63" w:type="dxa"/>
            </w:tcMar>
          </w:tcPr>
          <w:p w14:paraId="2C0C4C40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63" w:type="dxa"/>
            </w:tcMar>
          </w:tcPr>
          <w:p w14:paraId="6ED5F675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63" w:type="dxa"/>
            </w:tcMar>
          </w:tcPr>
          <w:p w14:paraId="215CE416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483D7D1" w14:textId="77777777" w:rsidR="00BB2E45" w:rsidRDefault="009C72D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40FB2E0A" w14:textId="77777777" w:rsidR="00BB2E45" w:rsidRDefault="009C72D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14:paraId="7F22098D" w14:textId="77777777" w:rsidR="00BB2E45" w:rsidRDefault="00BB2E45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2400"/>
        <w:gridCol w:w="2572"/>
        <w:gridCol w:w="2684"/>
        <w:gridCol w:w="2829"/>
      </w:tblGrid>
      <w:tr w:rsidR="00BB2E45" w14:paraId="7C3CCE9D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50D8" w14:textId="77777777" w:rsidR="00BB2E45" w:rsidRDefault="009C7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5A97" w14:textId="77777777" w:rsidR="00BB2E45" w:rsidRDefault="009C7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30D1" w14:textId="77777777" w:rsidR="00BB2E45" w:rsidRDefault="009C7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0933A" w14:textId="77777777" w:rsidR="00BB2E45" w:rsidRDefault="009C72D3">
            <w:pPr>
              <w:spacing w:after="0" w:line="240" w:lineRule="auto"/>
            </w:pPr>
            <w:r>
              <w:rPr>
                <w:sz w:val="18"/>
                <w:szCs w:val="18"/>
              </w:rPr>
              <w:t>______________/ Якунина С.А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B2E45" w14:paraId="07F43CFC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F663B" w14:textId="77777777" w:rsidR="00BB2E45" w:rsidRDefault="00BB2E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AF64" w14:textId="77777777" w:rsidR="00BB2E45" w:rsidRDefault="009C72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4D85" w14:textId="77777777" w:rsidR="00BB2E45" w:rsidRDefault="00BB2E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B803" w14:textId="77777777" w:rsidR="00BB2E45" w:rsidRDefault="00BB2E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FD4469F" w14:textId="77777777" w:rsidR="00BB2E45" w:rsidRDefault="00BB2E45">
      <w:pPr>
        <w:ind w:firstLine="708"/>
        <w:rPr>
          <w:sz w:val="16"/>
          <w:szCs w:val="16"/>
        </w:rPr>
      </w:pPr>
    </w:p>
    <w:p w14:paraId="4DA608A5" w14:textId="77777777" w:rsidR="00BB2E45" w:rsidRDefault="009C72D3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14:paraId="75A67555" w14:textId="77777777" w:rsidR="00BB2E45" w:rsidRDefault="00BB2E45">
      <w:pPr>
        <w:rPr>
          <w:b/>
        </w:rPr>
      </w:pPr>
    </w:p>
    <w:tbl>
      <w:tblPr>
        <w:tblStyle w:val="aa"/>
        <w:tblW w:w="4957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2385"/>
        <w:gridCol w:w="2572"/>
      </w:tblGrid>
      <w:tr w:rsidR="00BB2E45" w14:paraId="7D56F511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04474" w14:textId="77777777" w:rsidR="00BB2E45" w:rsidRDefault="009C7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D24F" w14:textId="77777777" w:rsidR="00BB2E45" w:rsidRDefault="009C7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BB2E45" w14:paraId="4399F15D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47B40" w14:textId="77777777" w:rsidR="00BB2E45" w:rsidRDefault="00BB2E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F349" w14:textId="77777777" w:rsidR="00BB2E45" w:rsidRDefault="00BB2E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3CD5F52" w14:textId="77777777" w:rsidR="00BB2E45" w:rsidRDefault="00BB2E45">
      <w:pPr>
        <w:rPr>
          <w:b/>
          <w:sz w:val="16"/>
          <w:szCs w:val="16"/>
        </w:rPr>
      </w:pPr>
    </w:p>
    <w:p w14:paraId="78CE7ACB" w14:textId="77777777" w:rsidR="00BB2E45" w:rsidRDefault="009C7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a"/>
        <w:tblW w:w="10632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BB2E45" w14:paraId="7DB6DDFE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49ABD1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39514452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0141BAEE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6F622A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2B15E011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3C56E722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ACEC44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71F0C232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0B19E0B2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EDDDA3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7C5CB1B1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4CFBB2D9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CDB6D8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40EC86C9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58797E6A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0902E6" w14:textId="77777777" w:rsidR="00BB2E45" w:rsidRDefault="009C72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63" w:type="dxa"/>
            </w:tcMar>
          </w:tcPr>
          <w:p w14:paraId="47C12A1D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7F38738" w14:textId="77777777" w:rsidR="00BB2E45" w:rsidRDefault="00BB2E45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BB2E45" w14:paraId="60F9FA51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63" w:type="dxa"/>
            </w:tcMar>
            <w:vAlign w:val="center"/>
          </w:tcPr>
          <w:p w14:paraId="64973999" w14:textId="77777777" w:rsidR="00BB2E45" w:rsidRDefault="009C7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63" w:type="dxa"/>
            </w:tcMar>
            <w:vAlign w:val="center"/>
          </w:tcPr>
          <w:p w14:paraId="18897CA6" w14:textId="77777777" w:rsidR="00BB2E45" w:rsidRDefault="009C72D3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63" w:type="dxa"/>
            </w:tcMar>
            <w:vAlign w:val="center"/>
          </w:tcPr>
          <w:p w14:paraId="6D7FAC84" w14:textId="77777777" w:rsidR="00BB2E45" w:rsidRDefault="009C72D3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63" w:type="dxa"/>
            </w:tcMar>
            <w:vAlign w:val="center"/>
          </w:tcPr>
          <w:p w14:paraId="560A3757" w14:textId="77777777" w:rsidR="00BB2E45" w:rsidRDefault="009C72D3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BB2E45" w14:paraId="6A663FA1" w14:textId="77777777">
        <w:trPr>
          <w:trHeight w:val="554"/>
        </w:trPr>
        <w:tc>
          <w:tcPr>
            <w:tcW w:w="799" w:type="dxa"/>
            <w:shd w:val="clear" w:color="auto" w:fill="auto"/>
            <w:tcMar>
              <w:left w:w="63" w:type="dxa"/>
            </w:tcMar>
          </w:tcPr>
          <w:p w14:paraId="7104DCF9" w14:textId="77777777" w:rsidR="00BB2E45" w:rsidRDefault="009C7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63" w:type="dxa"/>
            </w:tcMar>
          </w:tcPr>
          <w:p w14:paraId="629E3DB5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63" w:type="dxa"/>
            </w:tcMar>
          </w:tcPr>
          <w:p w14:paraId="6BB22F54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63" w:type="dxa"/>
            </w:tcMar>
          </w:tcPr>
          <w:p w14:paraId="2DCE9CE8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FA3EB09" w14:textId="77777777" w:rsidR="00BB2E45" w:rsidRDefault="009C72D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7E7CB984" w14:textId="77777777" w:rsidR="00BB2E45" w:rsidRDefault="009C72D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 w14:paraId="11E609E5" w14:textId="77777777" w:rsidR="00BB2E45" w:rsidRDefault="00BB2E45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2400"/>
        <w:gridCol w:w="2572"/>
        <w:gridCol w:w="2684"/>
        <w:gridCol w:w="2829"/>
      </w:tblGrid>
      <w:tr w:rsidR="00BB2E45" w14:paraId="28E9F880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634B" w14:textId="77777777" w:rsidR="00BB2E45" w:rsidRDefault="009C7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0A91" w14:textId="77777777" w:rsidR="00BB2E45" w:rsidRDefault="009C7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19BF" w14:textId="77777777" w:rsidR="00BB2E45" w:rsidRDefault="009C7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694A" w14:textId="77777777" w:rsidR="00BB2E45" w:rsidRDefault="009C72D3">
            <w:pPr>
              <w:spacing w:after="0" w:line="240" w:lineRule="auto"/>
            </w:pPr>
            <w:r>
              <w:rPr>
                <w:sz w:val="18"/>
                <w:szCs w:val="18"/>
              </w:rPr>
              <w:t>______________/ Якунина С.А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B2E45" w14:paraId="16F9FFC4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1E51" w14:textId="77777777" w:rsidR="00BB2E45" w:rsidRDefault="00BB2E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DEC6" w14:textId="77777777" w:rsidR="00BB2E45" w:rsidRDefault="009C72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0123" w14:textId="77777777" w:rsidR="00BB2E45" w:rsidRDefault="00BB2E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5FD4" w14:textId="77777777" w:rsidR="00BB2E45" w:rsidRDefault="00BB2E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D5BB14" w14:textId="77777777" w:rsidR="00BB2E45" w:rsidRDefault="00BB2E45">
      <w:pPr>
        <w:rPr>
          <w:b/>
          <w:sz w:val="16"/>
          <w:szCs w:val="16"/>
        </w:rPr>
      </w:pPr>
    </w:p>
    <w:p w14:paraId="15769C93" w14:textId="77777777" w:rsidR="00BB2E45" w:rsidRDefault="009C72D3">
      <w:pPr>
        <w:rPr>
          <w:b/>
          <w:sz w:val="16"/>
          <w:szCs w:val="16"/>
        </w:rPr>
      </w:pPr>
      <w:r>
        <w:br w:type="page"/>
      </w:r>
    </w:p>
    <w:p w14:paraId="0261709F" w14:textId="77777777" w:rsidR="00BB2E45" w:rsidRDefault="009C7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a"/>
        <w:tblW w:w="10456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7092"/>
        <w:gridCol w:w="3364"/>
      </w:tblGrid>
      <w:tr w:rsidR="00BB2E45" w14:paraId="7EA7D75B" w14:textId="77777777">
        <w:tc>
          <w:tcPr>
            <w:tcW w:w="70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2A4698" w14:textId="77777777" w:rsidR="00BB2E45" w:rsidRDefault="009C72D3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4" w:type="dxa"/>
            <w:shd w:val="clear" w:color="auto" w:fill="auto"/>
            <w:tcMar>
              <w:left w:w="58" w:type="dxa"/>
            </w:tcMar>
          </w:tcPr>
          <w:p w14:paraId="43E33653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3EDFA68C" w14:textId="77777777">
        <w:trPr>
          <w:trHeight w:val="426"/>
        </w:trPr>
        <w:tc>
          <w:tcPr>
            <w:tcW w:w="70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FDA9A9" w14:textId="77777777" w:rsidR="00BB2E45" w:rsidRDefault="00BB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6594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29AE6DC3" w14:textId="77777777"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2326" w14:textId="77777777" w:rsidR="00BB2E45" w:rsidRDefault="009C7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3DEC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3B5A251" w14:textId="77777777" w:rsidR="00BB2E45" w:rsidRDefault="00BB2E45"/>
    <w:p w14:paraId="0A20B40D" w14:textId="77777777" w:rsidR="00BB2E45" w:rsidRDefault="009C72D3">
      <w:r>
        <w:t>К накладным (экспедиторским распискам)</w:t>
      </w:r>
      <w:r>
        <w:tab/>
        <w:t>________________________________________________________</w:t>
      </w:r>
    </w:p>
    <w:p w14:paraId="23A81A29" w14:textId="77777777" w:rsidR="00BB2E45" w:rsidRDefault="009C72D3">
      <w:r>
        <w:t>_______________________________________________________________________________________________</w:t>
      </w:r>
    </w:p>
    <w:p w14:paraId="03005CA8" w14:textId="77777777" w:rsidR="00BB2E45" w:rsidRDefault="009C72D3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14:paraId="3FEF50A1" w14:textId="77777777" w:rsidR="00BB2E45" w:rsidRDefault="009C72D3">
      <w:r>
        <w:t>_______________________________________________________________________________________________</w:t>
      </w:r>
    </w:p>
    <w:p w14:paraId="5AF501C9" w14:textId="77777777" w:rsidR="00BB2E45" w:rsidRDefault="00BB2E45">
      <w:pPr>
        <w:rPr>
          <w:sz w:val="24"/>
          <w:szCs w:val="24"/>
        </w:rPr>
      </w:pPr>
    </w:p>
    <w:tbl>
      <w:tblPr>
        <w:tblStyle w:val="aa"/>
        <w:tblW w:w="10456" w:type="dxa"/>
        <w:tblInd w:w="-10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56"/>
        <w:gridCol w:w="9600"/>
      </w:tblGrid>
      <w:tr w:rsidR="00BB2E45" w14:paraId="46B9548F" w14:textId="77777777">
        <w:tc>
          <w:tcPr>
            <w:tcW w:w="856" w:type="dxa"/>
            <w:shd w:val="clear" w:color="auto" w:fill="auto"/>
            <w:tcMar>
              <w:left w:w="63" w:type="dxa"/>
            </w:tcMar>
          </w:tcPr>
          <w:p w14:paraId="04526FF0" w14:textId="77777777" w:rsidR="00BB2E45" w:rsidRDefault="009C72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63" w:type="dxa"/>
            </w:tcMar>
          </w:tcPr>
          <w:p w14:paraId="699CFD96" w14:textId="77777777" w:rsidR="00BB2E45" w:rsidRDefault="009C72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BB2E45" w14:paraId="772DF51D" w14:textId="77777777">
        <w:trPr>
          <w:trHeight w:val="551"/>
        </w:trPr>
        <w:tc>
          <w:tcPr>
            <w:tcW w:w="856" w:type="dxa"/>
            <w:shd w:val="clear" w:color="auto" w:fill="auto"/>
            <w:tcMar>
              <w:left w:w="63" w:type="dxa"/>
            </w:tcMar>
          </w:tcPr>
          <w:p w14:paraId="4EEDCF76" w14:textId="77777777" w:rsidR="00BB2E45" w:rsidRDefault="009C7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63" w:type="dxa"/>
            </w:tcMar>
          </w:tcPr>
          <w:p w14:paraId="143CAFB8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507F2DC4" w14:textId="77777777">
        <w:tc>
          <w:tcPr>
            <w:tcW w:w="10455" w:type="dxa"/>
            <w:gridSpan w:val="2"/>
            <w:shd w:val="clear" w:color="auto" w:fill="auto"/>
            <w:tcMar>
              <w:left w:w="63" w:type="dxa"/>
            </w:tcMar>
          </w:tcPr>
          <w:p w14:paraId="3921607B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E45" w14:paraId="6BD1406E" w14:textId="77777777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63" w:type="dxa"/>
            </w:tcMar>
          </w:tcPr>
          <w:p w14:paraId="3A0BA54D" w14:textId="77777777" w:rsidR="00BB2E45" w:rsidRDefault="009C7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 w14:paraId="55A1A469" w14:textId="77777777" w:rsidR="00BB2E45" w:rsidRDefault="00BB2E45">
      <w:pPr>
        <w:rPr>
          <w:sz w:val="24"/>
          <w:szCs w:val="24"/>
        </w:rPr>
      </w:pPr>
    </w:p>
    <w:tbl>
      <w:tblPr>
        <w:tblStyle w:val="aa"/>
        <w:tblW w:w="10456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3677"/>
        <w:gridCol w:w="3207"/>
        <w:gridCol w:w="1726"/>
        <w:gridCol w:w="1846"/>
      </w:tblGrid>
      <w:tr w:rsidR="00BB2E45" w14:paraId="77C1C36B" w14:textId="77777777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2D3214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EC41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3BED" w14:textId="77777777" w:rsidR="00BB2E45" w:rsidRDefault="009C7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BB2E45" w14:paraId="61F80E46" w14:textId="77777777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D548" w14:textId="77777777" w:rsidR="00BB2E45" w:rsidRDefault="009C7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1D45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D269" w14:textId="77777777" w:rsidR="00BB2E45" w:rsidRDefault="009C7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C0AB" w14:textId="77777777" w:rsidR="00BB2E45" w:rsidRDefault="009C7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BB2E45" w14:paraId="2CC3227C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8F71" w14:textId="77777777" w:rsidR="00BB2E45" w:rsidRDefault="009C72D3">
            <w:pPr>
              <w:spacing w:after="0" w:line="240" w:lineRule="auto"/>
            </w:pPr>
            <w:r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386C3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E730" w14:textId="77777777" w:rsidR="00BB2E45" w:rsidRDefault="00BB2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0EC73D" w14:textId="77777777" w:rsidR="00BB2E45" w:rsidRDefault="00BB2E45"/>
    <w:sectPr w:rsidR="00BB2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E54D" w14:textId="77777777" w:rsidR="002F4473" w:rsidRDefault="002F4473">
      <w:pPr>
        <w:spacing w:after="0" w:line="240" w:lineRule="auto"/>
      </w:pPr>
      <w:r>
        <w:separator/>
      </w:r>
    </w:p>
  </w:endnote>
  <w:endnote w:type="continuationSeparator" w:id="0">
    <w:p w14:paraId="4AB43650" w14:textId="77777777" w:rsidR="002F4473" w:rsidRDefault="002F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;sans-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246F" w14:textId="77777777" w:rsidR="004377F7" w:rsidRDefault="004377F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8E27" w14:textId="77777777" w:rsidR="004377F7" w:rsidRDefault="004377F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779F" w14:textId="77777777" w:rsidR="004377F7" w:rsidRDefault="004377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B1F7" w14:textId="77777777" w:rsidR="002F4473" w:rsidRDefault="002F4473">
      <w:pPr>
        <w:spacing w:after="0" w:line="240" w:lineRule="auto"/>
      </w:pPr>
      <w:r>
        <w:separator/>
      </w:r>
    </w:p>
  </w:footnote>
  <w:footnote w:type="continuationSeparator" w:id="0">
    <w:p w14:paraId="4559DBD3" w14:textId="77777777" w:rsidR="002F4473" w:rsidRDefault="002F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13A3" w14:textId="77777777" w:rsidR="004377F7" w:rsidRDefault="004377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86D" w14:textId="77777777" w:rsidR="00BB2E45" w:rsidRDefault="009C72D3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noProof/>
      </w:rPr>
      <w:drawing>
        <wp:inline distT="0" distB="0" distL="0" distR="0" wp14:anchorId="065227A3" wp14:editId="18C74001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7C5B7" w14:textId="77777777" w:rsidR="00BB2E45" w:rsidRDefault="009C72D3">
    <w:pPr>
      <w:pStyle w:val="11"/>
      <w:jc w:val="center"/>
    </w:pPr>
    <w:r>
      <w:rPr>
        <w:b/>
        <w:color w:val="1F4E79" w:themeColor="accent1" w:themeShade="80"/>
        <w:sz w:val="32"/>
        <w:szCs w:val="32"/>
      </w:rPr>
      <w:t xml:space="preserve">Индивидуальный предприниматель </w:t>
    </w:r>
  </w:p>
  <w:p w14:paraId="16D8C856" w14:textId="77777777" w:rsidR="00BB2E45" w:rsidRDefault="009C72D3">
    <w:pPr>
      <w:jc w:val="center"/>
      <w:rPr>
        <w:color w:val="1F4E79"/>
        <w:sz w:val="32"/>
        <w:szCs w:val="32"/>
      </w:rPr>
    </w:pPr>
    <w:r>
      <w:rPr>
        <w:b/>
        <w:color w:val="1F4E79" w:themeColor="accent1" w:themeShade="80"/>
        <w:spacing w:val="3"/>
        <w:sz w:val="32"/>
        <w:szCs w:val="32"/>
      </w:rPr>
      <w:t>Якунина Светлана Александровна</w:t>
    </w:r>
  </w:p>
  <w:p w14:paraId="158A5054" w14:textId="77777777" w:rsidR="00BB2E45" w:rsidRDefault="009C72D3">
    <w:pPr>
      <w:pStyle w:val="11"/>
      <w:jc w:val="center"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rFonts w:cs="Times New Roman"/>
        <w:b/>
        <w:bCs/>
        <w:color w:val="000000"/>
        <w:sz w:val="20"/>
        <w:szCs w:val="20"/>
        <w:lang w:eastAsia="ru-RU"/>
      </w:rPr>
      <w:t>420700028439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304420526500134</w:t>
    </w:r>
  </w:p>
  <w:p w14:paraId="76386C1F" w14:textId="77777777" w:rsidR="00BB2E45" w:rsidRDefault="009C72D3">
    <w:pPr>
      <w:pStyle w:val="11"/>
      <w:jc w:val="center"/>
    </w:pPr>
    <w:r>
      <w:rPr>
        <w:b/>
        <w:sz w:val="24"/>
        <w:szCs w:val="24"/>
      </w:rPr>
      <w:t xml:space="preserve">Адрес: </w:t>
    </w:r>
    <w:r>
      <w:rPr>
        <w:rFonts w:ascii="Verdana;sans-serif" w:hAnsi="Verdana;sans-serif" w:cs="Verdana"/>
        <w:b/>
        <w:bCs/>
        <w:color w:val="000000"/>
        <w:sz w:val="18"/>
        <w:szCs w:val="18"/>
      </w:rPr>
      <w:t>654005, г. Новокузнецк, проспект Металлургов, 41</w:t>
    </w:r>
    <w:r>
      <w:rPr>
        <w:rFonts w:ascii="Verdana" w:hAnsi="Verdana" w:cs="Verdana"/>
        <w:b/>
        <w:bCs/>
        <w:color w:val="000000"/>
        <w:sz w:val="18"/>
        <w:szCs w:val="18"/>
      </w:rPr>
      <w:t xml:space="preserve"> </w:t>
    </w:r>
  </w:p>
  <w:p w14:paraId="6D98D7A5" w14:textId="0EED7D12" w:rsidR="00BB2E45" w:rsidRDefault="009C72D3">
    <w:pPr>
      <w:pStyle w:val="11"/>
      <w:jc w:val="center"/>
    </w:pPr>
    <w:r>
      <w:rPr>
        <w:b/>
        <w:sz w:val="24"/>
        <w:szCs w:val="24"/>
      </w:rPr>
      <w:t>Тел.:</w:t>
    </w:r>
    <w:r>
      <w:rPr>
        <w:b/>
        <w:bCs/>
        <w:color w:val="000000"/>
        <w:sz w:val="24"/>
        <w:szCs w:val="24"/>
      </w:rPr>
      <w:t xml:space="preserve">  </w:t>
    </w:r>
    <w:r w:rsidR="00521A35">
      <w:rPr>
        <w:b/>
        <w:bCs/>
        <w:color w:val="000000"/>
        <w:sz w:val="24"/>
        <w:szCs w:val="24"/>
      </w:rPr>
      <w:t xml:space="preserve">8(961)-861-5566; </w:t>
    </w:r>
    <w:r w:rsidR="004377F7" w:rsidRPr="00521A35">
      <w:rPr>
        <w:b/>
        <w:bCs/>
        <w:color w:val="000000"/>
        <w:sz w:val="24"/>
        <w:szCs w:val="24"/>
      </w:rPr>
      <w:t>8(923)475</w:t>
    </w:r>
    <w:r w:rsidR="00521A35">
      <w:rPr>
        <w:b/>
        <w:bCs/>
        <w:color w:val="000000"/>
        <w:sz w:val="24"/>
        <w:szCs w:val="24"/>
      </w:rPr>
      <w:t>-</w:t>
    </w:r>
    <w:r w:rsidR="004377F7" w:rsidRPr="00521A35">
      <w:rPr>
        <w:b/>
        <w:bCs/>
        <w:color w:val="000000"/>
        <w:sz w:val="24"/>
        <w:szCs w:val="24"/>
      </w:rPr>
      <w:t>5176</w:t>
    </w:r>
    <w:r w:rsidRPr="00521A35">
      <w:rPr>
        <w:b/>
        <w:bCs/>
        <w:color w:val="000000"/>
        <w:sz w:val="24"/>
        <w:szCs w:val="24"/>
      </w:rPr>
      <w:t>;</w:t>
    </w:r>
    <w:r w:rsidRPr="00521A35">
      <w:rPr>
        <w:rFonts w:ascii="Verdana" w:hAnsi="Verdana" w:cs="Verdana"/>
        <w:b/>
        <w:bCs/>
        <w:color w:val="000000"/>
      </w:rPr>
      <w:t xml:space="preserve"> </w:t>
    </w:r>
  </w:p>
  <w:p w14:paraId="1B95D4D9" w14:textId="77777777" w:rsidR="00BB2E45" w:rsidRDefault="009C72D3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 w14:paraId="5E133EB4" w14:textId="77777777" w:rsidR="00BB2E45" w:rsidRDefault="00BB2E45">
    <w:pPr>
      <w:pStyle w:val="11"/>
      <w:jc w:val="center"/>
      <w:rPr>
        <w:b/>
        <w:color w:val="1F4E79" w:themeColor="accent1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6CAE" w14:textId="77777777" w:rsidR="004377F7" w:rsidRDefault="004377F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E45"/>
    <w:rsid w:val="002F4473"/>
    <w:rsid w:val="004377F7"/>
    <w:rsid w:val="00521A35"/>
    <w:rsid w:val="009C72D3"/>
    <w:rsid w:val="00B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720E8"/>
  <w15:docId w15:val="{1C470A36-82F1-457A-AD38-4B4A0DE0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7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9712C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qFormat/>
    <w:rPr>
      <w:sz w:val="24"/>
    </w:rPr>
  </w:style>
  <w:style w:type="paragraph" w:customStyle="1" w:styleId="1">
    <w:name w:val="Заголовок1"/>
    <w:basedOn w:val="a"/>
    <w:next w:val="a6"/>
    <w:qFormat/>
    <w:rsid w:val="004F1A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F1ABE"/>
    <w:pPr>
      <w:spacing w:after="140" w:line="288" w:lineRule="auto"/>
    </w:pPr>
  </w:style>
  <w:style w:type="paragraph" w:styleId="a7">
    <w:name w:val="List"/>
    <w:basedOn w:val="a6"/>
    <w:rsid w:val="004F1ABE"/>
    <w:rPr>
      <w:rFonts w:cs="Mangal"/>
    </w:rPr>
  </w:style>
  <w:style w:type="paragraph" w:customStyle="1" w:styleId="10">
    <w:name w:val="Название объекта1"/>
    <w:basedOn w:val="a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F1ABE"/>
    <w:pPr>
      <w:suppressLineNumbers/>
    </w:pPr>
    <w:rPr>
      <w:rFonts w:cs="Mangal"/>
    </w:rPr>
  </w:style>
  <w:style w:type="paragraph" w:customStyle="1" w:styleId="11">
    <w:name w:val="Верх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3971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widowControl w:val="0"/>
      <w:ind w:firstLine="567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table" w:styleId="aa">
    <w:name w:val="Table Grid"/>
    <w:basedOn w:val="a1"/>
    <w:uiPriority w:val="39"/>
    <w:rsid w:val="00F7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3"/>
    <w:uiPriority w:val="99"/>
    <w:unhideWhenUsed/>
    <w:rsid w:val="004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rsid w:val="004377F7"/>
    <w:rPr>
      <w:color w:val="00000A"/>
      <w:sz w:val="22"/>
    </w:rPr>
  </w:style>
  <w:style w:type="paragraph" w:styleId="ac">
    <w:name w:val="footer"/>
    <w:basedOn w:val="a"/>
    <w:link w:val="14"/>
    <w:uiPriority w:val="99"/>
    <w:unhideWhenUsed/>
    <w:rsid w:val="004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rsid w:val="004377F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Программист;OpenTBS 1.9.11</dc:creator>
  <dc:description/>
  <cp:lastModifiedBy>Alash</cp:lastModifiedBy>
  <cp:revision>49</cp:revision>
  <dcterms:created xsi:type="dcterms:W3CDTF">2018-08-17T04:53:00Z</dcterms:created>
  <dcterms:modified xsi:type="dcterms:W3CDTF">2023-05-12T06:25:00Z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