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______________/ 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______________/ Якунина С.А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58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4"/>
      <w:jc w:val="center"/>
      <w:rPr/>
    </w:pPr>
    <w:r>
      <w:rPr>
        <w:b/>
        <w:color w:val="1F4E79" w:themeColor="accent1" w:themeShade="80"/>
        <w:sz w:val="32"/>
        <w:szCs w:val="32"/>
      </w:rPr>
      <w:t xml:space="preserve">Индивидуальный предприниматель </w:t>
    </w:r>
  </w:p>
  <w:p>
    <w:pPr>
      <w:pStyle w:val="Normal"/>
      <w:jc w:val="center"/>
      <w:rPr>
        <w:color w:val="1F4E79"/>
        <w:sz w:val="32"/>
        <w:szCs w:val="32"/>
      </w:rPr>
    </w:pPr>
    <w:r>
      <w:rPr>
        <w:b/>
        <w:color w:val="1F4E79" w:themeColor="accent1" w:themeShade="80"/>
        <w:spacing w:val="3"/>
        <w:sz w:val="32"/>
        <w:szCs w:val="32"/>
      </w:rPr>
      <w:t>Якунина Светлана Александровна</w:t>
    </w:r>
  </w:p>
  <w:p>
    <w:pPr>
      <w:pStyle w:val="Style24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rFonts w:cs="Times New Roman"/>
        <w:b/>
        <w:bCs/>
        <w:i w:val="false"/>
        <w:iCs w:val="false"/>
        <w:caps w:val="false"/>
        <w:smallCaps w:val="false"/>
        <w:color w:val="000000"/>
        <w:spacing w:val="0"/>
        <w:sz w:val="20"/>
        <w:szCs w:val="20"/>
        <w:lang w:eastAsia="ru-RU"/>
      </w:rPr>
      <w:t>420700028439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color w:val="000000"/>
        <w:sz w:val="20"/>
        <w:szCs w:val="20"/>
      </w:rPr>
      <w:t>304420526500134</w:t>
    </w:r>
  </w:p>
  <w:p>
    <w:pPr>
      <w:pStyle w:val="Style24"/>
      <w:jc w:val="center"/>
      <w:rPr/>
    </w:pPr>
    <w:r>
      <w:rPr>
        <w:b/>
        <w:sz w:val="24"/>
        <w:szCs w:val="24"/>
      </w:rPr>
      <w:t xml:space="preserve">Адрес: </w:t>
    </w:r>
    <w:r>
      <w:rPr>
        <w:rFonts w:cs="Verdana" w:ascii="Verdana" w:hAnsi="Verdana"/>
        <w:b/>
        <w:bCs/>
        <w:i w:val="false"/>
        <w:caps w:val="false"/>
        <w:smallCaps w:val="false"/>
        <w:color w:val="000000"/>
        <w:spacing w:val="0"/>
        <w:sz w:val="18"/>
        <w:szCs w:val="18"/>
        <w:u w:val="none"/>
        <w:lang w:val="ru-RU"/>
      </w:rPr>
      <w:t>г. Барнаул, ул. Пионеров, 5</w:t>
    </w:r>
  </w:p>
  <w:p>
    <w:pPr>
      <w:pStyle w:val="Style24"/>
      <w:jc w:val="center"/>
      <w:rPr/>
    </w:pPr>
    <w:r>
      <w:rPr>
        <w:b/>
        <w:sz w:val="24"/>
        <w:szCs w:val="24"/>
      </w:rPr>
      <w:t>Тел.:</w:t>
    </w:r>
    <w:r>
      <w:rPr>
        <w:b/>
        <w:bCs/>
        <w:color w:val="000000"/>
        <w:sz w:val="24"/>
        <w:szCs w:val="24"/>
      </w:rPr>
      <w:t xml:space="preserve"> </w:t>
    </w:r>
    <w:r>
      <w:rPr>
        <w:b/>
        <w:bCs/>
        <w:color w:val="000000"/>
        <w:sz w:val="24"/>
        <w:szCs w:val="24"/>
        <w:u w:val="none"/>
      </w:rPr>
      <w:t xml:space="preserve"> </w:t>
    </w:r>
    <w:r>
      <w:rPr>
        <w:rFonts w:cs="Verdana" w:ascii="Verdana" w:hAnsi="Verdana"/>
        <w:b/>
        <w:bCs/>
        <w:color w:val="000000"/>
        <w:sz w:val="18"/>
        <w:szCs w:val="18"/>
        <w:u w:val="none"/>
      </w:rPr>
      <w:t xml:space="preserve">+7-964-086-8152; +7-961-861-5577; +7 (3852) </w:t>
    </w:r>
    <w:r>
      <w:rPr>
        <w:rFonts w:cs="Segoe UI" w:ascii="Segoe UI" w:hAnsi="Segoe UI"/>
        <w:b/>
        <w:bCs/>
        <w:color w:val="000000"/>
        <w:sz w:val="21"/>
        <w:szCs w:val="21"/>
        <w:u w:val="none"/>
      </w:rPr>
      <w:t>35-95-15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4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character" w:styleId="2">
    <w:name w:val="Основной текст 2 Знак"/>
    <w:qFormat/>
    <w:rPr>
      <w:sz w:val="24"/>
    </w:rPr>
  </w:style>
  <w:style w:type="character" w:styleId="Style18">
    <w:name w:val="Основной шрифт абзаца"/>
    <w:qFormat/>
    <w:rPr/>
  </w:style>
  <w:style w:type="paragraph" w:styleId="Style19" w:customStyle="1">
    <w:name w:val="Заголовок"/>
    <w:basedOn w:val="Normal"/>
    <w:next w:val="Style20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4f1abe"/>
    <w:pPr>
      <w:spacing w:lineRule="auto" w:line="288" w:before="0" w:after="140"/>
    </w:pPr>
    <w:rPr/>
  </w:style>
  <w:style w:type="paragraph" w:styleId="Style21">
    <w:name w:val="List"/>
    <w:basedOn w:val="Style20"/>
    <w:rsid w:val="004f1abe"/>
    <w:pPr/>
    <w:rPr>
      <w:rFonts w:cs="Mangal"/>
    </w:rPr>
  </w:style>
  <w:style w:type="paragraph" w:styleId="Style22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4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 w:val="false"/>
      <w:bidi w:val="0"/>
      <w:ind w:left="0" w:right="0" w:firstLine="567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LibreOffice/5.4.0.3$Windows_X86_64 LibreOffice_project/7556cbc6811c9d992f4064ab9287069087d7f62c</Application>
  <Pages>3</Pages>
  <Words>860</Words>
  <Characters>6599</Characters>
  <CharactersWithSpaces>7399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2020-09-22T13:01:45Z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